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280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附件1：论坛组织与日程安排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ind w:firstLine="562" w:firstLineChars="200"/>
        <w:rPr>
          <w:rFonts w:ascii="黑体" w:hAnsi="黑体" w:eastAsia="黑体" w:cs="宋体"/>
          <w:b/>
          <w:sz w:val="28"/>
        </w:rPr>
      </w:pPr>
      <w:bookmarkStart w:id="0" w:name="_GoBack"/>
      <w:r>
        <w:rPr>
          <w:rFonts w:hint="eastAsia" w:ascii="黑体" w:hAnsi="黑体" w:eastAsia="黑体" w:cs="宋体"/>
          <w:b/>
          <w:sz w:val="28"/>
        </w:rPr>
        <w:t>2019中国乡村振兴暨首届“一带一路”农业农村发展论坛</w:t>
      </w:r>
    </w:p>
    <w:bookmarkEnd w:id="0"/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一、论坛组织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主办单位：联合国粮农组织（FAO）</w:t>
      </w:r>
    </w:p>
    <w:p>
      <w:pPr>
        <w:spacing w:line="30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全国农业科技创业创新联盟</w:t>
      </w:r>
    </w:p>
    <w:p>
      <w:pPr>
        <w:spacing w:line="30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中国农业工程学会</w:t>
      </w:r>
    </w:p>
    <w:p>
      <w:pPr>
        <w:spacing w:line="30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中国经济信息社</w:t>
      </w:r>
    </w:p>
    <w:p>
      <w:pPr>
        <w:spacing w:line="30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浙江大学中国西部发展研究院 </w:t>
      </w:r>
    </w:p>
    <w:p>
      <w:pPr>
        <w:spacing w:line="30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浙江大学中国农村发展研究院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承办单位：浙江省杭州市余杭区人民政府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支持单位：浙江省乡村振兴研究院（筹）</w:t>
      </w:r>
    </w:p>
    <w:p>
      <w:pPr>
        <w:spacing w:line="30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中国小康建设研究研究会</w:t>
      </w: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二、论坛概况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1.时间：2019年11月30日-12月1日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2.地点：杭州良渚君澜度假酒店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3.参会人数：300-350人</w:t>
      </w: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三、论坛议题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发布乡村振兴年度报告；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乡村振兴主旨演讲、案例分享；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全球数字农业主题分论坛：围绕数字农业的进展与趋势、数字农业技术与解决方案；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圆桌论坛 ：国家农业发展战略、可持续性与未来发展；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全球农村金融主题分论坛：工商资本在农村金融方面的产业机会，乡村振兴新型融资模式，互联网金融及科技金融政策，农产品供应链金融，农村保险、期货等在生产经营流通领域的服务模式，资金互助会案例；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圆桌对话：亚洲开发银行、中国农业发展银行、中国建设银行、中国农业银行、中国邮政储蓄银行、农村信用社（农商行）、村镇银行等金融机构代表研讨创新融资、科技金融、农产品供应链金融等；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考察浙江乡村振兴典型案例。</w:t>
      </w: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四、参会对象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全国各省农业农村厅、县市农办、农业局负责人；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农业龙头企业、工商资本涉农投资人、农业企业主、家庭农场、种养大户；</w:t>
      </w:r>
    </w:p>
    <w:p>
      <w:pPr>
        <w:numPr>
          <w:ilvl w:val="0"/>
          <w:numId w:val="1"/>
        </w:numPr>
        <w:spacing w:line="300" w:lineRule="auto"/>
        <w:ind w:left="210" w:left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各银行农村金融负责人、“一带一路”沿线国家涉农嘉宾。</w:t>
      </w: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五、拟邀请的部分领导和嘉宾</w:t>
      </w: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 xml:space="preserve">（一）国内领导和嘉宾       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1.国家领导人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2.农业农村部领导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3.浙江省和其他省（区、市）政府领导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4.新华社领导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5.浙江大学领导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6.国务院参事、中国农业科技创业创新联盟主席、国务院扶贫开发领导小组原副组长、农业部原副部长刘坚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7.全国人大农业和农村委员会副主任李春生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8.浙江省人大常委会原党委副书记、副主任程渭山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9.农业农村部规划设计研究院原院长、中国农业工程学会理事长朱明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10.国务院参事、友成企业家扶贫基金会常务副理事长汤敏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（二）国际组织官员及国外农业专家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1.联合国粮农组织高级别官员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2.亚洲开发银行有关负责人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3.ITU电信开发局农业信息负责人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4.日本三一株式会社代表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5.欧盟科帕科加贸易和数字农业部门主任Daniel Azevedo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6.意大利种子和芯片公司首席执行官Marco Gualtieri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7.卢旺达ict charch首席执行官Alex Ntare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8.塔塔咨询公司数字农业倡议小组全球负责人Srinivasu Pappula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9.JD集团Mr./Ms.嘉佳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10.KT公司首席执行Chang-Gyu Hwang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11.比尔和梅琳达盖茨基金会Hannah Reed</w:t>
      </w:r>
    </w:p>
    <w:p>
      <w:pPr>
        <w:spacing w:beforeLines="50" w:line="300" w:lineRule="auto"/>
        <w:rPr>
          <w:rFonts w:ascii="黑体" w:hAnsi="黑体" w:eastAsia="黑体" w:cs="宋体"/>
          <w:b/>
          <w:sz w:val="24"/>
        </w:rPr>
      </w:pPr>
      <w:r>
        <w:rPr>
          <w:rFonts w:hint="eastAsia" w:ascii="黑体" w:hAnsi="黑体" w:eastAsia="黑体" w:cs="宋体"/>
          <w:b/>
          <w:sz w:val="24"/>
        </w:rPr>
        <w:t>论坛议程</w:t>
      </w:r>
    </w:p>
    <w:tbl>
      <w:tblPr>
        <w:tblStyle w:val="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3544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时间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活动安排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11月29日周五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下午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领导、嘉宾、媒体代表报到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大会会务组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11月30日周六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上午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领导、嘉宾、媒体代表报到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大会会务组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下午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参观考察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12月1日周日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8:20-8:35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参会领导嘉宾合影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8:35-9:15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开幕式及领导致辞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9:15-9:25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发布乡村振兴年度报告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9:25-9:50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乡村振兴签约仪式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与粮农组织签署交流互访协议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9:50-11:10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主旨演讲</w:t>
            </w:r>
          </w:p>
        </w:tc>
        <w:tc>
          <w:tcPr>
            <w:tcW w:w="2580" w:type="dxa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11:10-11:55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乡村振兴的案例分享</w:t>
            </w:r>
          </w:p>
        </w:tc>
        <w:tc>
          <w:tcPr>
            <w:tcW w:w="25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12:00</w:t>
            </w:r>
          </w:p>
        </w:tc>
        <w:tc>
          <w:tcPr>
            <w:tcW w:w="354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午  餐</w:t>
            </w:r>
          </w:p>
        </w:tc>
        <w:tc>
          <w:tcPr>
            <w:tcW w:w="258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2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14:00-16:00 </w:t>
            </w:r>
            <w:r>
              <w:rPr>
                <w:rFonts w:ascii="宋体" w:hAnsi="宋体" w:cs="宋体"/>
                <w:sz w:val="24"/>
              </w:rPr>
              <w:t>数字农业主题分论坛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14:00-14:15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领导致辞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14:15-14:35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主旨演讲:数字农业的进展与趋势 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14:35-14:55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主旨演讲:数字农业技术与解决方案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14:55-15:15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主旨演讲:数字农业、智慧农业与数字经济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15:15-16:00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圆桌论坛:国家农业发展战略、可持续性与未来发展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2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16:00-18:00 </w:t>
            </w:r>
            <w:r>
              <w:rPr>
                <w:rFonts w:ascii="宋体" w:hAnsi="宋体" w:cs="宋体"/>
                <w:sz w:val="24"/>
              </w:rPr>
              <w:t>农村金融主题分论坛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16:00-16:20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主旨演讲:工商资本在农村金融方面的产业机会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16:20-16:40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主旨演讲:乡村振兴的金融服务创新路径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16:40-17:00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主旨演讲:科技金融及农产品供应链金融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17:00-18:00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圆桌对话：四大行、农发行、农商行、村镇银行等银行代表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18:00</w:t>
            </w:r>
          </w:p>
        </w:tc>
        <w:tc>
          <w:tcPr>
            <w:tcW w:w="35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晚 餐</w:t>
            </w:r>
          </w:p>
        </w:tc>
        <w:tc>
          <w:tcPr>
            <w:tcW w:w="25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866C"/>
    <w:multiLevelType w:val="singleLevel"/>
    <w:tmpl w:val="3DC2866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F"/>
    <w:rsid w:val="00075423"/>
    <w:rsid w:val="000B7809"/>
    <w:rsid w:val="000D6F70"/>
    <w:rsid w:val="001947A1"/>
    <w:rsid w:val="002A4838"/>
    <w:rsid w:val="002D35BB"/>
    <w:rsid w:val="00300DCA"/>
    <w:rsid w:val="00301EEF"/>
    <w:rsid w:val="0036604D"/>
    <w:rsid w:val="00367164"/>
    <w:rsid w:val="003710EE"/>
    <w:rsid w:val="003F38A2"/>
    <w:rsid w:val="0042183C"/>
    <w:rsid w:val="00426AB8"/>
    <w:rsid w:val="004323B0"/>
    <w:rsid w:val="00487C0D"/>
    <w:rsid w:val="004F0782"/>
    <w:rsid w:val="00547980"/>
    <w:rsid w:val="006D6436"/>
    <w:rsid w:val="006F15D2"/>
    <w:rsid w:val="00720345"/>
    <w:rsid w:val="00761254"/>
    <w:rsid w:val="007C4682"/>
    <w:rsid w:val="008004FB"/>
    <w:rsid w:val="00810A04"/>
    <w:rsid w:val="008217CE"/>
    <w:rsid w:val="008D3D9E"/>
    <w:rsid w:val="008E5DBE"/>
    <w:rsid w:val="009201BD"/>
    <w:rsid w:val="009D0C4A"/>
    <w:rsid w:val="00AB13A0"/>
    <w:rsid w:val="00AD645B"/>
    <w:rsid w:val="00AE6CA3"/>
    <w:rsid w:val="00B063A0"/>
    <w:rsid w:val="00B52795"/>
    <w:rsid w:val="00BD001D"/>
    <w:rsid w:val="00D16593"/>
    <w:rsid w:val="00D21B6A"/>
    <w:rsid w:val="00D85C40"/>
    <w:rsid w:val="00DB487A"/>
    <w:rsid w:val="00DD02C9"/>
    <w:rsid w:val="00DF2F4D"/>
    <w:rsid w:val="00EA5CE8"/>
    <w:rsid w:val="00EB0401"/>
    <w:rsid w:val="00EB3D65"/>
    <w:rsid w:val="00F4562B"/>
    <w:rsid w:val="00FF1FAC"/>
    <w:rsid w:val="78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TML Definition"/>
    <w:basedOn w:val="6"/>
    <w:qFormat/>
    <w:uiPriority w:val="0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5</TotalTime>
  <ScaleCrop>false</ScaleCrop>
  <LinksUpToDate>false</LinksUpToDate>
  <CharactersWithSpaces>3109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2019-11-06T09:24:00Z</dcterms:created>
  <dc:creator>zq</dc:creator>
  <cp:lastModifiedBy>Admin</cp:lastModifiedBy>
  <cp:lastPrinted>2019-08-21T03:27:00Z</cp:lastPrinted>
  <dcterms:modified xsi:type="dcterms:W3CDTF">2019-11-06T09:36:22Z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